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Spacing w:w="0" w:type="dxa"/>
        <w:tblCellMar>
          <w:top w:w="225" w:type="dxa"/>
          <w:left w:w="225" w:type="dxa"/>
          <w:bottom w:w="225" w:type="dxa"/>
          <w:right w:w="225" w:type="dxa"/>
        </w:tblCellMar>
        <w:tblLook w:val="04A0" w:firstRow="1" w:lastRow="0" w:firstColumn="1" w:lastColumn="0" w:noHBand="0" w:noVBand="1"/>
      </w:tblPr>
      <w:tblGrid>
        <w:gridCol w:w="9072"/>
      </w:tblGrid>
      <w:tr w:rsidR="00CF0287" w:rsidRPr="00CF0287" w:rsidTr="00CF0287">
        <w:trPr>
          <w:tblCellSpacing w:w="0" w:type="dxa"/>
          <w:jc w:val="center"/>
        </w:trPr>
        <w:tc>
          <w:tcPr>
            <w:tcW w:w="0" w:type="auto"/>
            <w:vAlign w:val="center"/>
            <w:hideMark/>
          </w:tcPr>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b/>
                <w:bCs/>
                <w:color w:val="FF0000"/>
                <w:sz w:val="36"/>
                <w:szCs w:val="36"/>
                <w:lang w:eastAsia="de-DE"/>
              </w:rPr>
              <w:t>Das Werte- und Entwicklungsquadrat</w:t>
            </w:r>
          </w:p>
          <w:p w:rsidR="00CF0287" w:rsidRPr="00CF0287" w:rsidRDefault="00CF0287" w:rsidP="00CF0287">
            <w:pPr>
              <w:spacing w:after="0"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br/>
              <w:t xml:space="preserve">  </w:t>
            </w:r>
            <w:r w:rsidRPr="00CF0287">
              <w:rPr>
                <w:rFonts w:ascii="Garamond" w:eastAsia="Times New Roman" w:hAnsi="Garamond" w:cs="Times New Roman"/>
                <w:sz w:val="24"/>
                <w:szCs w:val="24"/>
                <w:lang w:eastAsia="de-DE"/>
              </w:rPr>
              <w:br/>
              <w:t xml:space="preserve">Bei vielen Diskussionen spielen Wertvorstellungen und das Sich-Einsetzen für bestimmte Tugenden eine große Rolle. Dabei ist bekannt, dass Tugenden meistens nicht eine feste, absolute Bestimmung haben, sondern sich in einer Balance, einer "ausgehaltenen Spannung" (Schulz von Thun MR 2: 38), bewegen zwischen zwei Schwerpunkten. Die Tugend beweist ihre Lebensfähigkeit gerade durch das konstruktive Miteinander von zwei Polen. Schulz von Thun schreibt dazu: "Im Wertehimmel der </w:t>
            </w:r>
            <w:proofErr w:type="spellStart"/>
            <w:r w:rsidRPr="00CF0287">
              <w:rPr>
                <w:rFonts w:ascii="Garamond" w:eastAsia="Times New Roman" w:hAnsi="Garamond" w:cs="Times New Roman"/>
                <w:sz w:val="24"/>
                <w:szCs w:val="24"/>
                <w:lang w:eastAsia="de-DE"/>
              </w:rPr>
              <w:t>Kommunitionspsycholgie</w:t>
            </w:r>
            <w:proofErr w:type="spellEnd"/>
            <w:r w:rsidRPr="00CF0287">
              <w:rPr>
                <w:rFonts w:ascii="Garamond" w:eastAsia="Times New Roman" w:hAnsi="Garamond" w:cs="Times New Roman"/>
                <w:sz w:val="24"/>
                <w:szCs w:val="24"/>
                <w:lang w:eastAsia="de-DE"/>
              </w:rPr>
              <w:t xml:space="preserve"> gibt es nur Paarlinge" (Schulz von Thun 2006: 40). Manche scheinbare Alternativen: "Ist Ehrlichkeit oder Höflichkeit wichtiger?", "Ist Bindung oder Freiheit besser?" oder auch: "Flexibilität oder Organisation?" erweisen sich als falsch gestellte Fragen, denn jeweils beide Pole gehören zusammen. </w:t>
            </w:r>
          </w:p>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noProof/>
                <w:sz w:val="24"/>
                <w:szCs w:val="24"/>
                <w:lang w:eastAsia="de-DE"/>
              </w:rPr>
              <w:drawing>
                <wp:inline distT="0" distB="0" distL="0" distR="0" wp14:anchorId="16516AE0" wp14:editId="28613EAA">
                  <wp:extent cx="2733675" cy="895350"/>
                  <wp:effectExtent l="0" t="0" r="9525" b="0"/>
                  <wp:docPr id="1" name="Bild 13" descr="Organisation und Planung versus Flexibi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ganisation und Planung versus Flexibilitä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895350"/>
                          </a:xfrm>
                          <a:prstGeom prst="rect">
                            <a:avLst/>
                          </a:prstGeom>
                          <a:noFill/>
                          <a:ln>
                            <a:noFill/>
                          </a:ln>
                        </pic:spPr>
                      </pic:pic>
                    </a:graphicData>
                  </a:graphic>
                </wp:inline>
              </w:drawing>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Diese "Balance von Gegentugenden" (Schulz von Thun 2006: 36) kann gestört werden, wenn z.B. eine Seite nicht von der anderen ausbalanciert wird (d.h. verabsolutiert wird). Eine übertriebene Tugend ist keine mehr, sondern sie verkommt zu einem absolutistischen Standpunkt, sie wurde "entwertend übertrieben".</w:t>
            </w:r>
          </w:p>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noProof/>
                <w:sz w:val="24"/>
                <w:szCs w:val="24"/>
                <w:lang w:eastAsia="de-DE"/>
              </w:rPr>
              <w:drawing>
                <wp:inline distT="0" distB="0" distL="0" distR="0" wp14:anchorId="4C7DC8A6" wp14:editId="63423FF2">
                  <wp:extent cx="2571750" cy="2085975"/>
                  <wp:effectExtent l="0" t="0" r="0" b="9525"/>
                  <wp:docPr id="2" name="Bild 14" descr="Flexibilität wird Chaos u.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xibilität wird Chaos u.ä."/>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085975"/>
                          </a:xfrm>
                          <a:prstGeom prst="rect">
                            <a:avLst/>
                          </a:prstGeom>
                          <a:noFill/>
                          <a:ln>
                            <a:noFill/>
                          </a:ln>
                        </pic:spPr>
                      </pic:pic>
                    </a:graphicData>
                  </a:graphic>
                </wp:inline>
              </w:drawing>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 xml:space="preserve">Sehr häufig leiden Debatten daran, dass der Standpunkt der einen beteiligten Person von der Anderen so verstanden wird, als hätte sie den verabsolutierten Standpunkt eingenommen. Besonders wenn eine Person eher den einen Pol der Balance betonen will, unterstellt sie der anderen oft die Übertreibung des Gegenpols. Die Debatte entgleitet bis "unter die Gürtellinie". </w:t>
            </w:r>
          </w:p>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noProof/>
                <w:sz w:val="24"/>
                <w:szCs w:val="24"/>
                <w:lang w:eastAsia="de-DE"/>
              </w:rPr>
              <w:lastRenderedPageBreak/>
              <w:drawing>
                <wp:inline distT="0" distB="0" distL="0" distR="0" wp14:anchorId="108767C4" wp14:editId="1CD50E88">
                  <wp:extent cx="5562600" cy="2952750"/>
                  <wp:effectExtent l="0" t="0" r="0" b="0"/>
                  <wp:docPr id="3" name="Bild 15" descr="mhtml:file://C:\Users\Jürgen\Documents\Fortbildungen%202014\Fortbildungen\Kommunikationsseminar-RLFB\Das%20Werte-%20und%20Entwicklungsquadrat.mht!http://www.thur.de/home/annette/lh/komm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C:\Users\Jürgen\Documents\Fortbildungen%202014\Fortbildungen\Kommunikationsseminar-RLFB\Das%20Werte-%20und%20Entwicklungsquadrat.mht!http://www.thur.de/home/annette/lh/komm5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2952750"/>
                          </a:xfrm>
                          <a:prstGeom prst="rect">
                            <a:avLst/>
                          </a:prstGeom>
                          <a:noFill/>
                          <a:ln>
                            <a:noFill/>
                          </a:ln>
                        </pic:spPr>
                      </pic:pic>
                    </a:graphicData>
                  </a:graphic>
                </wp:inline>
              </w:drawing>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 xml:space="preserve">Das Gesamtbild eines </w:t>
            </w:r>
            <w:r w:rsidRPr="00CF0287">
              <w:rPr>
                <w:rFonts w:ascii="Garamond" w:eastAsia="Times New Roman" w:hAnsi="Garamond" w:cs="Times New Roman"/>
                <w:b/>
                <w:bCs/>
                <w:sz w:val="24"/>
                <w:szCs w:val="24"/>
                <w:lang w:eastAsia="de-DE"/>
              </w:rPr>
              <w:t>"Wertequadrats"</w:t>
            </w:r>
            <w:r w:rsidRPr="00CF0287">
              <w:rPr>
                <w:rFonts w:ascii="Garamond" w:eastAsia="Times New Roman" w:hAnsi="Garamond" w:cs="Times New Roman"/>
                <w:sz w:val="24"/>
                <w:szCs w:val="24"/>
                <w:lang w:eastAsia="de-DE"/>
              </w:rPr>
              <w:t xml:space="preserve"> sieht dann so aus: </w:t>
            </w:r>
          </w:p>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noProof/>
                <w:sz w:val="24"/>
                <w:szCs w:val="24"/>
                <w:lang w:eastAsia="de-DE"/>
              </w:rPr>
              <w:drawing>
                <wp:inline distT="0" distB="0" distL="0" distR="0" wp14:anchorId="35A48D6A" wp14:editId="54179A88">
                  <wp:extent cx="5562600" cy="2952750"/>
                  <wp:effectExtent l="0" t="0" r="0" b="0"/>
                  <wp:docPr id="4" name="Bild 16" descr="vollständiges Werte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llständiges Wertequadr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2952750"/>
                          </a:xfrm>
                          <a:prstGeom prst="rect">
                            <a:avLst/>
                          </a:prstGeom>
                          <a:noFill/>
                          <a:ln>
                            <a:noFill/>
                          </a:ln>
                        </pic:spPr>
                      </pic:pic>
                    </a:graphicData>
                  </a:graphic>
                </wp:inline>
              </w:drawing>
            </w:r>
            <w:r w:rsidRPr="00CF0287">
              <w:rPr>
                <w:rFonts w:ascii="Garamond" w:eastAsia="Times New Roman" w:hAnsi="Garamond" w:cs="Times New Roman"/>
                <w:sz w:val="24"/>
                <w:szCs w:val="24"/>
                <w:lang w:eastAsia="de-DE"/>
              </w:rPr>
              <w:br/>
            </w:r>
            <w:r w:rsidRPr="00CF0287">
              <w:rPr>
                <w:rFonts w:ascii="Garamond" w:eastAsia="Times New Roman" w:hAnsi="Garamond" w:cs="Times New Roman"/>
                <w:sz w:val="20"/>
                <w:szCs w:val="20"/>
                <w:lang w:eastAsia="de-DE"/>
              </w:rPr>
              <w:t>Wertequadrat nach Schulz von Thun 2006: 43.</w:t>
            </w:r>
            <w:r w:rsidRPr="00CF0287">
              <w:rPr>
                <w:rFonts w:ascii="Garamond" w:eastAsia="Times New Roman" w:hAnsi="Garamond" w:cs="Times New Roman"/>
                <w:sz w:val="24"/>
                <w:szCs w:val="24"/>
                <w:lang w:eastAsia="de-DE"/>
              </w:rPr>
              <w:t xml:space="preserve"> </w:t>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b/>
                <w:bCs/>
                <w:sz w:val="24"/>
                <w:szCs w:val="24"/>
                <w:lang w:eastAsia="de-DE"/>
              </w:rPr>
              <w:t>"Typisch für die menschliche Kommunikation im Konfliktfall ist, dass jeder Kontrahent sich in „seinem“ Wertehimmel sonnt und den anderen im Keller der Entartung verortet."</w:t>
            </w:r>
            <w:r w:rsidRPr="00CF0287">
              <w:rPr>
                <w:rFonts w:ascii="Garamond" w:eastAsia="Times New Roman" w:hAnsi="Garamond" w:cs="Times New Roman"/>
                <w:sz w:val="24"/>
                <w:szCs w:val="24"/>
                <w:lang w:eastAsia="de-DE"/>
              </w:rPr>
              <w:t xml:space="preserve">(Schulz von Thun 2006: 172) </w:t>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 xml:space="preserve">Weitere Beispiele sind (aus Platzgründen nicht im Quadrat dargestellt):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3"/>
              <w:gridCol w:w="2148"/>
              <w:gridCol w:w="2148"/>
              <w:gridCol w:w="2163"/>
            </w:tblGrid>
            <w:tr w:rsidR="00CF0287" w:rsidRPr="00CF0287">
              <w:trPr>
                <w:tblCellSpacing w:w="15" w:type="dxa"/>
              </w:trPr>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b/>
                      <w:bCs/>
                      <w:sz w:val="24"/>
                      <w:szCs w:val="24"/>
                      <w:lang w:eastAsia="de-DE"/>
                    </w:rPr>
                    <w:t>Entartung von A</w:t>
                  </w:r>
                </w:p>
              </w:tc>
              <w:tc>
                <w:tcPr>
                  <w:tcW w:w="1250" w:type="pct"/>
                  <w:shd w:val="clear" w:color="auto" w:fill="F0F0F0"/>
                  <w:vAlign w:val="center"/>
                  <w:hideMark/>
                </w:tcPr>
                <w:p w:rsidR="00CF0287" w:rsidRPr="00CF0287" w:rsidRDefault="00CF0287" w:rsidP="00CF0287">
                  <w:pPr>
                    <w:spacing w:after="0" w:line="240" w:lineRule="auto"/>
                    <w:jc w:val="center"/>
                    <w:rPr>
                      <w:rFonts w:ascii="Times New Roman" w:eastAsia="Times New Roman" w:hAnsi="Times New Roman" w:cs="Times New Roman"/>
                      <w:sz w:val="24"/>
                      <w:szCs w:val="24"/>
                      <w:lang w:eastAsia="de-DE"/>
                    </w:rPr>
                  </w:pPr>
                  <w:r w:rsidRPr="00CF0287">
                    <w:rPr>
                      <w:rFonts w:ascii="Times New Roman" w:eastAsia="Times New Roman" w:hAnsi="Times New Roman" w:cs="Times New Roman"/>
                      <w:b/>
                      <w:bCs/>
                      <w:sz w:val="24"/>
                      <w:szCs w:val="24"/>
                      <w:lang w:eastAsia="de-DE"/>
                    </w:rPr>
                    <w:t>A</w:t>
                  </w:r>
                  <w:r w:rsidRPr="00CF0287">
                    <w:rPr>
                      <w:rFonts w:ascii="Times New Roman" w:eastAsia="Times New Roman" w:hAnsi="Times New Roman" w:cs="Times New Roman"/>
                      <w:sz w:val="24"/>
                      <w:szCs w:val="24"/>
                      <w:lang w:eastAsia="de-DE"/>
                    </w:rPr>
                    <w:t xml:space="preserve"> </w:t>
                  </w:r>
                </w:p>
              </w:tc>
              <w:tc>
                <w:tcPr>
                  <w:tcW w:w="1250" w:type="pct"/>
                  <w:shd w:val="clear" w:color="auto" w:fill="F0F0F0"/>
                  <w:vAlign w:val="center"/>
                  <w:hideMark/>
                </w:tcPr>
                <w:p w:rsidR="00CF0287" w:rsidRPr="00CF0287" w:rsidRDefault="00CF0287" w:rsidP="00CF0287">
                  <w:pPr>
                    <w:spacing w:after="0" w:line="240" w:lineRule="auto"/>
                    <w:jc w:val="center"/>
                    <w:rPr>
                      <w:rFonts w:ascii="Times New Roman" w:eastAsia="Times New Roman" w:hAnsi="Times New Roman" w:cs="Times New Roman"/>
                      <w:sz w:val="24"/>
                      <w:szCs w:val="24"/>
                      <w:lang w:eastAsia="de-DE"/>
                    </w:rPr>
                  </w:pPr>
                  <w:r w:rsidRPr="00CF0287">
                    <w:rPr>
                      <w:rFonts w:ascii="Times New Roman" w:eastAsia="Times New Roman" w:hAnsi="Times New Roman" w:cs="Times New Roman"/>
                      <w:b/>
                      <w:bCs/>
                      <w:sz w:val="24"/>
                      <w:szCs w:val="24"/>
                      <w:lang w:eastAsia="de-DE"/>
                    </w:rPr>
                    <w:t xml:space="preserve">B </w:t>
                  </w:r>
                </w:p>
              </w:tc>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b/>
                      <w:bCs/>
                      <w:sz w:val="24"/>
                      <w:szCs w:val="24"/>
                      <w:lang w:eastAsia="de-DE"/>
                    </w:rPr>
                    <w:t xml:space="preserve">Entartung von B </w:t>
                  </w:r>
                </w:p>
              </w:tc>
            </w:tr>
            <w:tr w:rsidR="00CF0287" w:rsidRPr="00CF0287">
              <w:trPr>
                <w:tblCellSpacing w:w="15" w:type="dxa"/>
              </w:trPr>
              <w:tc>
                <w:tcPr>
                  <w:tcW w:w="0" w:type="auto"/>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Selbstsüchtige Egozentrik</w:t>
                  </w:r>
                </w:p>
              </w:tc>
              <w:tc>
                <w:tcPr>
                  <w:tcW w:w="0" w:type="auto"/>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Selbstverwirklichung </w:t>
                  </w:r>
                </w:p>
              </w:tc>
              <w:tc>
                <w:tcPr>
                  <w:tcW w:w="0" w:type="auto"/>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Gemeinschaftssinn </w:t>
                  </w:r>
                </w:p>
              </w:tc>
              <w:tc>
                <w:tcPr>
                  <w:tcW w:w="0" w:type="auto"/>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Selbst-Losigkeit </w:t>
                  </w:r>
                </w:p>
              </w:tc>
            </w:tr>
            <w:tr w:rsidR="00CF0287" w:rsidRPr="00CF0287">
              <w:trPr>
                <w:tblCellSpacing w:w="15" w:type="dxa"/>
              </w:trPr>
              <w:tc>
                <w:tcPr>
                  <w:tcW w:w="0" w:type="auto"/>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Feigheit </w:t>
                  </w:r>
                </w:p>
              </w:tc>
              <w:tc>
                <w:tcPr>
                  <w:tcW w:w="0" w:type="auto"/>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Vorsicht </w:t>
                  </w:r>
                </w:p>
              </w:tc>
              <w:tc>
                <w:tcPr>
                  <w:tcW w:w="0" w:type="auto"/>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Kühnheit, Mut </w:t>
                  </w:r>
                </w:p>
              </w:tc>
              <w:tc>
                <w:tcPr>
                  <w:tcW w:w="0" w:type="auto"/>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Übermut, Leichtsinn </w:t>
                  </w:r>
                </w:p>
              </w:tc>
            </w:tr>
          </w:tbl>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lastRenderedPageBreak/>
              <w:t xml:space="preserve">Die Kenntnis dieser typischen Wertekonstellation und vor allem der Verabsolutierung und der unterstellten Verabsolutierung kann helfen, Polarisierung deutlich zu machen, um durch aktives Zuhören zu klären, auf welcher Position der andere tatsächlich steht bzw. um sich gegen entwertende Deutungen der eigenen Position zu wehren. </w:t>
            </w:r>
            <w:r w:rsidRPr="00CF0287">
              <w:rPr>
                <w:rFonts w:ascii="Garamond" w:eastAsia="Times New Roman" w:hAnsi="Garamond" w:cs="Times New Roman"/>
                <w:sz w:val="24"/>
                <w:szCs w:val="24"/>
                <w:lang w:eastAsia="de-DE"/>
              </w:rPr>
              <w:br/>
              <w:t xml:space="preserve">Wir erkennen, dass in jeder </w:t>
            </w:r>
            <w:proofErr w:type="spellStart"/>
            <w:r w:rsidRPr="00CF0287">
              <w:rPr>
                <w:rFonts w:ascii="Garamond" w:eastAsia="Times New Roman" w:hAnsi="Garamond" w:cs="Times New Roman"/>
                <w:sz w:val="24"/>
                <w:szCs w:val="24"/>
                <w:lang w:eastAsia="de-DE"/>
              </w:rPr>
              <w:t>übertriebenden</w:t>
            </w:r>
            <w:proofErr w:type="spellEnd"/>
            <w:r w:rsidRPr="00CF0287">
              <w:rPr>
                <w:rFonts w:ascii="Garamond" w:eastAsia="Times New Roman" w:hAnsi="Garamond" w:cs="Times New Roman"/>
                <w:sz w:val="24"/>
                <w:szCs w:val="24"/>
                <w:lang w:eastAsia="de-DE"/>
              </w:rPr>
              <w:t xml:space="preserve"> Tugend auch eine Untugend steckt und wie leicht ein "Abrutschen" dahin geschehen kann (in der selbst vertretenen Position oder in der gegenseitigen Deutung der Position). </w:t>
            </w:r>
            <w:r w:rsidRPr="00CF0287">
              <w:rPr>
                <w:rFonts w:ascii="Garamond" w:eastAsia="Times New Roman" w:hAnsi="Garamond" w:cs="Times New Roman"/>
                <w:sz w:val="24"/>
                <w:szCs w:val="24"/>
                <w:lang w:eastAsia="de-DE"/>
              </w:rPr>
              <w:br/>
              <w:t xml:space="preserve">Wenn wir jedoch annehmen können, dass in mancher ziemlich extremen Meinung sich auch ein wahrer Kern (der ausbalancierte Pol) befinden könnte, fällt es uns auch leichter, die Position des anderen nicht nur abzulehnen, sondern diesen wahren Kern auch zu würdigen. </w:t>
            </w:r>
            <w:r w:rsidRPr="00CF0287">
              <w:rPr>
                <w:rFonts w:ascii="Garamond" w:eastAsia="Times New Roman" w:hAnsi="Garamond" w:cs="Times New Roman"/>
                <w:sz w:val="24"/>
                <w:szCs w:val="24"/>
                <w:lang w:eastAsia="de-DE"/>
              </w:rPr>
              <w:br/>
              <w:t xml:space="preserve">Dass solche </w:t>
            </w:r>
            <w:proofErr w:type="spellStart"/>
            <w:r w:rsidRPr="00CF0287">
              <w:rPr>
                <w:rFonts w:ascii="Garamond" w:eastAsia="Times New Roman" w:hAnsi="Garamond" w:cs="Times New Roman"/>
                <w:sz w:val="24"/>
                <w:szCs w:val="24"/>
                <w:lang w:eastAsia="de-DE"/>
              </w:rPr>
              <w:t>Mißverständnisse</w:t>
            </w:r>
            <w:proofErr w:type="spellEnd"/>
            <w:r w:rsidRPr="00CF0287">
              <w:rPr>
                <w:rFonts w:ascii="Garamond" w:eastAsia="Times New Roman" w:hAnsi="Garamond" w:cs="Times New Roman"/>
                <w:sz w:val="24"/>
                <w:szCs w:val="24"/>
                <w:lang w:eastAsia="de-DE"/>
              </w:rPr>
              <w:t xml:space="preserve"> entstehen können, kann durch den </w:t>
            </w:r>
            <w:hyperlink r:id="rId8" w:history="1">
              <w:r w:rsidRPr="00CF0287">
                <w:rPr>
                  <w:rFonts w:ascii="Garamond" w:eastAsia="Times New Roman" w:hAnsi="Garamond" w:cs="Times New Roman"/>
                  <w:color w:val="0000FF"/>
                  <w:sz w:val="24"/>
                  <w:szCs w:val="24"/>
                  <w:u w:val="single"/>
                  <w:lang w:eastAsia="de-DE"/>
                </w:rPr>
                <w:t>konstruktiven Charakter</w:t>
              </w:r>
            </w:hyperlink>
            <w:r w:rsidRPr="00CF0287">
              <w:rPr>
                <w:rFonts w:ascii="Garamond" w:eastAsia="Times New Roman" w:hAnsi="Garamond" w:cs="Times New Roman"/>
                <w:sz w:val="24"/>
                <w:szCs w:val="24"/>
                <w:lang w:eastAsia="de-DE"/>
              </w:rPr>
              <w:t xml:space="preserve"> von Kommunikation erklärt werden. </w:t>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 xml:space="preserve">Es ist interessant, dass sich für drei </w:t>
            </w:r>
            <w:hyperlink r:id="rId9" w:history="1">
              <w:r w:rsidRPr="00CF0287">
                <w:rPr>
                  <w:rFonts w:ascii="Garamond" w:eastAsia="Times New Roman" w:hAnsi="Garamond" w:cs="Times New Roman"/>
                  <w:color w:val="0000FF"/>
                  <w:sz w:val="24"/>
                  <w:szCs w:val="24"/>
                  <w:u w:val="single"/>
                  <w:lang w:eastAsia="de-DE"/>
                </w:rPr>
                <w:t>vier Aspekte von Mitteilungen</w:t>
              </w:r>
            </w:hyperlink>
            <w:r w:rsidRPr="00CF0287">
              <w:rPr>
                <w:rFonts w:ascii="Garamond" w:eastAsia="Times New Roman" w:hAnsi="Garamond" w:cs="Times New Roman"/>
                <w:sz w:val="24"/>
                <w:szCs w:val="24"/>
                <w:lang w:eastAsia="de-DE"/>
              </w:rPr>
              <w:t xml:space="preserve"> typische Wertequadrate aufzeigen lassen. (Schulz von Thun 2006: 215ff.)</w:t>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b/>
                <w:bCs/>
                <w:sz w:val="24"/>
                <w:szCs w:val="24"/>
                <w:lang w:eastAsia="de-DE"/>
              </w:rPr>
              <w:t>Selbstkundgabe-Wertequadrat</w:t>
            </w:r>
            <w:r w:rsidRPr="00CF0287">
              <w:rPr>
                <w:rFonts w:ascii="Garamond" w:eastAsia="Times New Roman" w:hAnsi="Garamond"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3"/>
              <w:gridCol w:w="2148"/>
              <w:gridCol w:w="2148"/>
              <w:gridCol w:w="2163"/>
            </w:tblGrid>
            <w:tr w:rsidR="00CF0287" w:rsidRPr="00CF0287">
              <w:trPr>
                <w:tblCellSpacing w:w="15" w:type="dxa"/>
              </w:trPr>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Ich-Bezogenheit, unangemessene Selbstenthüllung</w:t>
                  </w:r>
                </w:p>
              </w:tc>
              <w:tc>
                <w:tcPr>
                  <w:tcW w:w="1250" w:type="pct"/>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Authentizität; Ich-Beteiligung </w:t>
                  </w:r>
                </w:p>
              </w:tc>
              <w:tc>
                <w:tcPr>
                  <w:tcW w:w="1250" w:type="pct"/>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persönliche Zurückhaltung, Sachbezogenheit </w:t>
                  </w:r>
                </w:p>
              </w:tc>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unpersönliche Rollen-Fassade</w:t>
                  </w:r>
                </w:p>
              </w:tc>
            </w:tr>
          </w:tbl>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b/>
                <w:bCs/>
                <w:sz w:val="24"/>
                <w:szCs w:val="24"/>
                <w:lang w:eastAsia="de-DE"/>
              </w:rPr>
              <w:t>Beziehungs-Wertequadrat</w:t>
            </w:r>
            <w:r w:rsidRPr="00CF0287">
              <w:rPr>
                <w:rFonts w:ascii="Garamond" w:eastAsia="Times New Roman" w:hAnsi="Garamond"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3"/>
              <w:gridCol w:w="2148"/>
              <w:gridCol w:w="2148"/>
              <w:gridCol w:w="2163"/>
            </w:tblGrid>
            <w:tr w:rsidR="00CF0287" w:rsidRPr="00CF0287">
              <w:trPr>
                <w:tblCellSpacing w:w="15" w:type="dxa"/>
              </w:trPr>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"Fried-Höflichkeit" </w:t>
                  </w:r>
                </w:p>
              </w:tc>
              <w:tc>
                <w:tcPr>
                  <w:tcW w:w="1250" w:type="pct"/>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Akzeptierung</w:t>
                  </w:r>
                </w:p>
              </w:tc>
              <w:tc>
                <w:tcPr>
                  <w:tcW w:w="1250" w:type="pct"/>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Konfrontation</w:t>
                  </w:r>
                </w:p>
              </w:tc>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entwertende Verächtlichkeit </w:t>
                  </w:r>
                </w:p>
              </w:tc>
            </w:tr>
          </w:tbl>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b/>
                <w:bCs/>
                <w:sz w:val="24"/>
                <w:szCs w:val="24"/>
                <w:lang w:eastAsia="de-DE"/>
              </w:rPr>
              <w:t>Appell-Wertequadrat</w:t>
            </w:r>
            <w:r w:rsidRPr="00CF0287">
              <w:rPr>
                <w:rFonts w:ascii="Garamond" w:eastAsia="Times New Roman" w:hAnsi="Garamond"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3"/>
              <w:gridCol w:w="2148"/>
              <w:gridCol w:w="2148"/>
              <w:gridCol w:w="2163"/>
            </w:tblGrid>
            <w:tr w:rsidR="00CF0287" w:rsidRPr="00CF0287">
              <w:trPr>
                <w:tblCellSpacing w:w="15" w:type="dxa"/>
              </w:trPr>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missionarische Engelszungen </w:t>
                  </w:r>
                </w:p>
              </w:tc>
              <w:tc>
                <w:tcPr>
                  <w:tcW w:w="1250" w:type="pct"/>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Mut zum Appell </w:t>
                  </w:r>
                </w:p>
              </w:tc>
              <w:tc>
                <w:tcPr>
                  <w:tcW w:w="1250" w:type="pct"/>
                  <w:shd w:val="clear" w:color="auto" w:fill="F0F0F0"/>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Respekt vor dem Hoheitsgebiet des anderen </w:t>
                  </w:r>
                </w:p>
              </w:tc>
              <w:tc>
                <w:tcPr>
                  <w:tcW w:w="1250" w:type="pct"/>
                  <w:shd w:val="clear" w:color="auto" w:fill="FFA6A6"/>
                  <w:vAlign w:val="center"/>
                  <w:hideMark/>
                </w:tcPr>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 xml:space="preserve">Unverbindliche Beliebigkeit </w:t>
                  </w:r>
                </w:p>
              </w:tc>
            </w:tr>
          </w:tbl>
          <w:p w:rsidR="00CF0287" w:rsidRPr="00CF0287" w:rsidRDefault="00CF0287" w:rsidP="00CF0287">
            <w:pPr>
              <w:spacing w:after="0"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pict>
                <v:rect id="_x0000_i1025" style="width:0;height:.75pt" o:hralign="center" o:hrstd="t" o:hrnoshade="t" o:hr="t" fillcolor="#a0a0a0" stroked="f"/>
              </w:pict>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 xml:space="preserve">Wir können dieses Wertequadrat nutzen, um solche entwertenden Deutungen der gegenseitigen Standpunkte zu verdeutlichen. Wenn es aber nicht nur um </w:t>
            </w:r>
            <w:proofErr w:type="spellStart"/>
            <w:r w:rsidRPr="00CF0287">
              <w:rPr>
                <w:rFonts w:ascii="Garamond" w:eastAsia="Times New Roman" w:hAnsi="Garamond" w:cs="Times New Roman"/>
                <w:sz w:val="24"/>
                <w:szCs w:val="24"/>
                <w:lang w:eastAsia="de-DE"/>
              </w:rPr>
              <w:t>mißverständliche</w:t>
            </w:r>
            <w:proofErr w:type="spellEnd"/>
            <w:r w:rsidRPr="00CF0287">
              <w:rPr>
                <w:rFonts w:ascii="Garamond" w:eastAsia="Times New Roman" w:hAnsi="Garamond" w:cs="Times New Roman"/>
                <w:sz w:val="24"/>
                <w:szCs w:val="24"/>
                <w:lang w:eastAsia="de-DE"/>
              </w:rPr>
              <w:t xml:space="preserve"> Deutungen geht, sondern von Beteiligten tatsächlich </w:t>
            </w:r>
            <w:proofErr w:type="spellStart"/>
            <w:r w:rsidRPr="00CF0287">
              <w:rPr>
                <w:rFonts w:ascii="Garamond" w:eastAsia="Times New Roman" w:hAnsi="Garamond" w:cs="Times New Roman"/>
                <w:sz w:val="24"/>
                <w:szCs w:val="24"/>
                <w:lang w:eastAsia="de-DE"/>
              </w:rPr>
              <w:t>verabsoluterte</w:t>
            </w:r>
            <w:proofErr w:type="spellEnd"/>
            <w:r w:rsidRPr="00CF0287">
              <w:rPr>
                <w:rFonts w:ascii="Garamond" w:eastAsia="Times New Roman" w:hAnsi="Garamond" w:cs="Times New Roman"/>
                <w:sz w:val="24"/>
                <w:szCs w:val="24"/>
                <w:lang w:eastAsia="de-DE"/>
              </w:rPr>
              <w:t xml:space="preserve"> Werte vertreten werden, kann dieses Quadrat auch als </w:t>
            </w:r>
            <w:r w:rsidRPr="00CF0287">
              <w:rPr>
                <w:rFonts w:ascii="Garamond" w:eastAsia="Times New Roman" w:hAnsi="Garamond" w:cs="Times New Roman"/>
                <w:b/>
                <w:bCs/>
                <w:sz w:val="24"/>
                <w:szCs w:val="24"/>
                <w:lang w:eastAsia="de-DE"/>
              </w:rPr>
              <w:t>"Entwicklungsquadrat"</w:t>
            </w:r>
            <w:r w:rsidRPr="00CF0287">
              <w:rPr>
                <w:rFonts w:ascii="Garamond" w:eastAsia="Times New Roman" w:hAnsi="Garamond" w:cs="Times New Roman"/>
                <w:sz w:val="24"/>
                <w:szCs w:val="24"/>
                <w:lang w:eastAsia="de-DE"/>
              </w:rPr>
              <w:t xml:space="preserve"> gelesen werden. Nehmen wir eine andere Wertebalance. Es wäre sinnvoll, die Werte von Akzeptieren, </w:t>
            </w:r>
            <w:proofErr w:type="spellStart"/>
            <w:r w:rsidRPr="00CF0287">
              <w:rPr>
                <w:rFonts w:ascii="Garamond" w:eastAsia="Times New Roman" w:hAnsi="Garamond" w:cs="Times New Roman"/>
                <w:sz w:val="24"/>
                <w:szCs w:val="24"/>
                <w:lang w:eastAsia="de-DE"/>
              </w:rPr>
              <w:t>Geltenlassen</w:t>
            </w:r>
            <w:proofErr w:type="spellEnd"/>
            <w:r w:rsidRPr="00CF0287">
              <w:rPr>
                <w:rFonts w:ascii="Garamond" w:eastAsia="Times New Roman" w:hAnsi="Garamond" w:cs="Times New Roman"/>
                <w:sz w:val="24"/>
                <w:szCs w:val="24"/>
                <w:lang w:eastAsia="de-DE"/>
              </w:rPr>
              <w:t xml:space="preserve"> und Friedlichkeit gemeinsam mit den Werten </w:t>
            </w:r>
            <w:proofErr w:type="spellStart"/>
            <w:r w:rsidRPr="00CF0287">
              <w:rPr>
                <w:rFonts w:ascii="Garamond" w:eastAsia="Times New Roman" w:hAnsi="Garamond" w:cs="Times New Roman"/>
                <w:sz w:val="24"/>
                <w:szCs w:val="24"/>
                <w:lang w:eastAsia="de-DE"/>
              </w:rPr>
              <w:t>Konfontation</w:t>
            </w:r>
            <w:proofErr w:type="spellEnd"/>
            <w:r w:rsidRPr="00CF0287">
              <w:rPr>
                <w:rFonts w:ascii="Garamond" w:eastAsia="Times New Roman" w:hAnsi="Garamond" w:cs="Times New Roman"/>
                <w:sz w:val="24"/>
                <w:szCs w:val="24"/>
                <w:lang w:eastAsia="de-DE"/>
              </w:rPr>
              <w:t xml:space="preserve"> und Streit auszubalancieren. Die Akzeptanz und Friedlichkeit könnte jedoch auch verkommen zu einer "Friedhöflichkeit" oder die Bereitschaft zu Konflikten zu einer feindseligen Zerfleischung. Dann kommt es darauf an, sich von der vereinseitigten, verabsolutierten Position in Richtung des ausbalancierten Gegenpols zu entwickeln. Wer zu friedfertig und zu harmonisierend ist, sollte es auch lernen, kritisch zu werden und Konfrontationen nicht auszuweichen. Wer zu feig ist, dem sollte etwas Kühnheit gut tun. </w:t>
            </w:r>
          </w:p>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noProof/>
                <w:sz w:val="24"/>
                <w:szCs w:val="24"/>
                <w:lang w:eastAsia="de-DE"/>
              </w:rPr>
              <w:lastRenderedPageBreak/>
              <w:drawing>
                <wp:inline distT="0" distB="0" distL="0" distR="0" wp14:anchorId="05598D89" wp14:editId="7D7E60F2">
                  <wp:extent cx="5829300" cy="1905000"/>
                  <wp:effectExtent l="0" t="0" r="0" b="0"/>
                  <wp:docPr id="5" name="Bild 18" descr="Entwicklungs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twicklungsquadr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1905000"/>
                          </a:xfrm>
                          <a:prstGeom prst="rect">
                            <a:avLst/>
                          </a:prstGeom>
                          <a:noFill/>
                          <a:ln>
                            <a:noFill/>
                          </a:ln>
                        </pic:spPr>
                      </pic:pic>
                    </a:graphicData>
                  </a:graphic>
                </wp:inline>
              </w:drawing>
            </w:r>
            <w:r w:rsidRPr="00CF0287">
              <w:rPr>
                <w:rFonts w:ascii="Garamond" w:eastAsia="Times New Roman" w:hAnsi="Garamond" w:cs="Times New Roman"/>
                <w:sz w:val="24"/>
                <w:szCs w:val="24"/>
                <w:lang w:eastAsia="de-DE"/>
              </w:rPr>
              <w:br/>
            </w:r>
            <w:r w:rsidRPr="00CF0287">
              <w:rPr>
                <w:rFonts w:ascii="Garamond" w:eastAsia="Times New Roman" w:hAnsi="Garamond" w:cs="Times New Roman"/>
                <w:sz w:val="20"/>
                <w:szCs w:val="20"/>
                <w:lang w:eastAsia="de-DE"/>
              </w:rPr>
              <w:t>Entwicklungspotenzen (nach Schulz von Thun MR 2: 48)</w:t>
            </w:r>
            <w:r w:rsidRPr="00CF0287">
              <w:rPr>
                <w:rFonts w:ascii="Garamond" w:eastAsia="Times New Roman" w:hAnsi="Garamond" w:cs="Times New Roman"/>
                <w:sz w:val="24"/>
                <w:szCs w:val="24"/>
                <w:lang w:eastAsia="de-DE"/>
              </w:rPr>
              <w:t xml:space="preserve"> </w:t>
            </w:r>
          </w:p>
          <w:p w:rsidR="00CF0287" w:rsidRPr="00CF0287" w:rsidRDefault="00CF0287" w:rsidP="00CF0287">
            <w:pPr>
              <w:spacing w:after="0"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pict>
                <v:rect id="_x0000_i1026" style="width:0;height:.75pt" o:hralign="center" o:hrstd="t" o:hrnoshade="t" o:hr="t" fillcolor="#a0a0a0" stroked="f"/>
              </w:pict>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bookmarkStart w:id="0" w:name="konstr"/>
            <w:bookmarkEnd w:id="0"/>
            <w:r w:rsidRPr="00CF0287">
              <w:rPr>
                <w:rFonts w:ascii="Garamond" w:eastAsia="Times New Roman" w:hAnsi="Garamond" w:cs="Times New Roman"/>
                <w:sz w:val="24"/>
                <w:szCs w:val="24"/>
                <w:lang w:eastAsia="de-DE"/>
              </w:rPr>
              <w:t xml:space="preserve">Ich denke, dass das für Werte und Tugenden von Schulz von Thun entwickelte Modell sich auch auf inhaltliche Positionen anwenden </w:t>
            </w:r>
            <w:proofErr w:type="spellStart"/>
            <w:r w:rsidRPr="00CF0287">
              <w:rPr>
                <w:rFonts w:ascii="Garamond" w:eastAsia="Times New Roman" w:hAnsi="Garamond" w:cs="Times New Roman"/>
                <w:sz w:val="24"/>
                <w:szCs w:val="24"/>
                <w:lang w:eastAsia="de-DE"/>
              </w:rPr>
              <w:t>läßt</w:t>
            </w:r>
            <w:proofErr w:type="spellEnd"/>
            <w:r w:rsidRPr="00CF0287">
              <w:rPr>
                <w:rFonts w:ascii="Garamond" w:eastAsia="Times New Roman" w:hAnsi="Garamond" w:cs="Times New Roman"/>
                <w:sz w:val="24"/>
                <w:szCs w:val="24"/>
                <w:lang w:eastAsia="de-DE"/>
              </w:rPr>
              <w:t xml:space="preserve">. Wenn wir die Welt erkennen, entwickeln wir nicht nur Fiktionen, sondern erhaschen etwas aus der Welt selbst - andererseits können wir sie nicht wirklich wie ein Spiegel kopieren, sondern wir selbst verändert die Inhalte nach Maßgabe unserer beschränkten Wahrnehmungsfähigkeit und weiterhin auch durch die Bestimmung von Erkenntnisobjekten und die Verwendung von Erkenntnismitteln. Eine Balance wäre also gegeben in der Dynamik der Momente "Wir erkennen WELT" und "Wir konstruieren dabei bestimmte Momente." Die Verabsolutierungen wären: "Wir erkennen die Welt </w:t>
            </w:r>
            <w:proofErr w:type="spellStart"/>
            <w:r w:rsidRPr="00CF0287">
              <w:rPr>
                <w:rFonts w:ascii="Garamond" w:eastAsia="Times New Roman" w:hAnsi="Garamond" w:cs="Times New Roman"/>
                <w:sz w:val="24"/>
                <w:szCs w:val="24"/>
                <w:lang w:eastAsia="de-DE"/>
              </w:rPr>
              <w:t>genau so</w:t>
            </w:r>
            <w:proofErr w:type="spellEnd"/>
            <w:r w:rsidRPr="00CF0287">
              <w:rPr>
                <w:rFonts w:ascii="Garamond" w:eastAsia="Times New Roman" w:hAnsi="Garamond" w:cs="Times New Roman"/>
                <w:sz w:val="24"/>
                <w:szCs w:val="24"/>
                <w:lang w:eastAsia="de-DE"/>
              </w:rPr>
              <w:t xml:space="preserve">, wie sie ist." (naiver Realismus) und "Wir konstruieren alles und wissen nichts über die Welt." (idealistischer Konstruktivismus) </w:t>
            </w:r>
          </w:p>
          <w:p w:rsidR="00CF0287" w:rsidRPr="00CF0287" w:rsidRDefault="00CF0287" w:rsidP="00CF0287">
            <w:pPr>
              <w:spacing w:after="0" w:line="240" w:lineRule="auto"/>
              <w:jc w:val="center"/>
              <w:rPr>
                <w:rFonts w:ascii="Garamond" w:eastAsia="Times New Roman" w:hAnsi="Garamond" w:cs="Times New Roman"/>
                <w:sz w:val="24"/>
                <w:szCs w:val="24"/>
                <w:lang w:eastAsia="de-DE"/>
              </w:rPr>
            </w:pPr>
            <w:r w:rsidRPr="00CF0287">
              <w:rPr>
                <w:rFonts w:ascii="Garamond" w:eastAsia="Times New Roman" w:hAnsi="Garamond" w:cs="Times New Roman"/>
                <w:noProof/>
                <w:sz w:val="24"/>
                <w:szCs w:val="24"/>
                <w:lang w:eastAsia="de-DE"/>
              </w:rPr>
              <w:drawing>
                <wp:inline distT="0" distB="0" distL="0" distR="0" wp14:anchorId="66E0973D" wp14:editId="0B266BF4">
                  <wp:extent cx="5562600" cy="2952750"/>
                  <wp:effectExtent l="0" t="0" r="0" b="0"/>
                  <wp:docPr id="6" name="Bild 20" descr="mhtml:file://C:\Users\Jürgen\Documents\Fortbildungen%202014\Fortbildungen\Kommunikationsseminar-RLFB\Das%20Werte-%20und%20Entwicklungsquadrat.mht!http://www.thur.de/home/annette/lh/kom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C:\Users\Jürgen\Documents\Fortbildungen%202014\Fortbildungen\Kommunikationsseminar-RLFB\Das%20Werte-%20und%20Entwicklungsquadrat.mht!http://www.thur.de/home/annette/lh/komm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2952750"/>
                          </a:xfrm>
                          <a:prstGeom prst="rect">
                            <a:avLst/>
                          </a:prstGeom>
                          <a:noFill/>
                          <a:ln>
                            <a:noFill/>
                          </a:ln>
                        </pic:spPr>
                      </pic:pic>
                    </a:graphicData>
                  </a:graphic>
                </wp:inline>
              </w:drawing>
            </w:r>
          </w:p>
          <w:p w:rsidR="00CF0287" w:rsidRPr="00CF0287" w:rsidRDefault="00CF0287" w:rsidP="00CF0287">
            <w:pPr>
              <w:spacing w:before="100" w:beforeAutospacing="1" w:after="100" w:afterAutospacing="1"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t xml:space="preserve">Wir werden beim Thema </w:t>
            </w:r>
            <w:hyperlink r:id="rId12" w:history="1">
              <w:r w:rsidRPr="00CF0287">
                <w:rPr>
                  <w:rFonts w:ascii="Garamond" w:eastAsia="Times New Roman" w:hAnsi="Garamond" w:cs="Times New Roman"/>
                  <w:color w:val="0000FF"/>
                  <w:sz w:val="24"/>
                  <w:szCs w:val="24"/>
                  <w:u w:val="single"/>
                  <w:lang w:eastAsia="de-DE"/>
                </w:rPr>
                <w:t>"Konstruktivismus"</w:t>
              </w:r>
            </w:hyperlink>
            <w:r w:rsidRPr="00CF0287">
              <w:rPr>
                <w:rFonts w:ascii="Garamond" w:eastAsia="Times New Roman" w:hAnsi="Garamond" w:cs="Times New Roman"/>
                <w:sz w:val="24"/>
                <w:szCs w:val="24"/>
                <w:lang w:eastAsia="de-DE"/>
              </w:rPr>
              <w:t xml:space="preserve"> darauf zurück kommen. </w:t>
            </w:r>
          </w:p>
          <w:p w:rsidR="00CF0287" w:rsidRPr="00CF0287" w:rsidRDefault="00CF0287" w:rsidP="00CF0287">
            <w:pPr>
              <w:spacing w:after="0" w:line="240" w:lineRule="auto"/>
              <w:rPr>
                <w:rFonts w:ascii="Garamond" w:eastAsia="Times New Roman" w:hAnsi="Garamond" w:cs="Times New Roman"/>
                <w:sz w:val="24"/>
                <w:szCs w:val="24"/>
                <w:lang w:eastAsia="de-DE"/>
              </w:rPr>
            </w:pPr>
            <w:r w:rsidRPr="00CF0287">
              <w:rPr>
                <w:rFonts w:ascii="Garamond" w:eastAsia="Times New Roman" w:hAnsi="Garamond" w:cs="Times New Roman"/>
                <w:sz w:val="24"/>
                <w:szCs w:val="24"/>
                <w:lang w:eastAsia="de-DE"/>
              </w:rPr>
              <w:pict>
                <v:rect id="_x0000_i1027" style="width:0;height:.75pt" o:hralign="center" o:hrstd="t" o:hrnoshade="t" o:hr="t" fillcolor="#a0a0a0" stroked="f"/>
              </w:pict>
            </w:r>
          </w:p>
          <w:p w:rsidR="00CF0287" w:rsidRPr="00CF0287" w:rsidRDefault="00CF0287" w:rsidP="00CF0287">
            <w:pPr>
              <w:spacing w:after="0" w:line="240" w:lineRule="auto"/>
              <w:rPr>
                <w:rFonts w:ascii="Times New Roman" w:eastAsia="Times New Roman" w:hAnsi="Times New Roman" w:cs="Times New Roman"/>
                <w:sz w:val="24"/>
                <w:szCs w:val="24"/>
                <w:lang w:eastAsia="de-DE"/>
              </w:rPr>
            </w:pPr>
            <w:r w:rsidRPr="00CF0287">
              <w:rPr>
                <w:rFonts w:ascii="Garamond" w:eastAsia="Times New Roman" w:hAnsi="Garamond" w:cs="Times New Roman"/>
                <w:sz w:val="20"/>
                <w:szCs w:val="20"/>
                <w:lang w:eastAsia="de-DE"/>
              </w:rPr>
              <w:t>Literatur:</w:t>
            </w:r>
            <w:r w:rsidRPr="00CF0287">
              <w:rPr>
                <w:rFonts w:ascii="Garamond" w:eastAsia="Times New Roman" w:hAnsi="Garamond" w:cs="Times New Roman"/>
                <w:sz w:val="20"/>
                <w:szCs w:val="20"/>
                <w:lang w:eastAsia="de-DE"/>
              </w:rPr>
              <w:br/>
              <w:t>Schulz von Thun, Friedemann (MR 2): Miteinander reden 2: Stile, Werte und Persönlichkeitsentwicklung. Differentielle Psychologie der Kommunikation. Reinbek: Rowohlt. 2005.</w:t>
            </w:r>
            <w:r w:rsidRPr="00CF0287">
              <w:rPr>
                <w:rFonts w:ascii="Garamond" w:eastAsia="Times New Roman" w:hAnsi="Garamond" w:cs="Times New Roman"/>
                <w:sz w:val="20"/>
                <w:szCs w:val="20"/>
                <w:lang w:eastAsia="de-DE"/>
              </w:rPr>
              <w:br/>
              <w:t>Schulz von Thun, Friedemann (2006): Klarkommen mit sich selbst und anderen. Reinbek: Rowohlt.</w:t>
            </w:r>
          </w:p>
        </w:tc>
      </w:tr>
    </w:tbl>
    <w:p w:rsidR="00CF0287" w:rsidRPr="00CF0287" w:rsidRDefault="00CF0287" w:rsidP="00CF0287">
      <w:pPr>
        <w:spacing w:after="0" w:line="240" w:lineRule="auto"/>
        <w:jc w:val="center"/>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lastRenderedPageBreak/>
        <w:br/>
        <w:t> </w:t>
      </w:r>
    </w:p>
    <w:p w:rsidR="00CF0287" w:rsidRPr="00CF0287" w:rsidRDefault="00CF0287" w:rsidP="00CF0287">
      <w:pPr>
        <w:spacing w:after="0" w:line="240" w:lineRule="auto"/>
        <w:jc w:val="center"/>
        <w:rPr>
          <w:rFonts w:ascii="Times New Roman" w:eastAsia="Times New Roman" w:hAnsi="Times New Roman" w:cs="Times New Roman"/>
          <w:sz w:val="24"/>
          <w:szCs w:val="24"/>
          <w:lang w:eastAsia="de-DE"/>
        </w:rPr>
      </w:pPr>
      <w:hyperlink r:id="rId13" w:history="1">
        <w:r w:rsidRPr="00CF0287">
          <w:rPr>
            <w:rFonts w:ascii="Times New Roman" w:eastAsia="Times New Roman" w:hAnsi="Times New Roman" w:cs="Times New Roman"/>
            <w:color w:val="0000FF"/>
            <w:sz w:val="24"/>
            <w:szCs w:val="24"/>
            <w:u w:val="single"/>
            <w:lang w:eastAsia="de-DE"/>
          </w:rPr>
          <w:t>Zur Startseite der Kommunikation</w:t>
        </w:r>
      </w:hyperlink>
    </w:p>
    <w:p w:rsidR="00CF0287" w:rsidRPr="00CF0287" w:rsidRDefault="00CF0287" w:rsidP="00CF0287">
      <w:pPr>
        <w:spacing w:after="0" w:line="240" w:lineRule="auto"/>
        <w:jc w:val="center"/>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24"/>
          <w:szCs w:val="24"/>
          <w:lang w:eastAsia="de-DE"/>
        </w:rPr>
        <w:t>[</w:t>
      </w:r>
      <w:hyperlink r:id="rId14" w:history="1">
        <w:r w:rsidRPr="00CF0287">
          <w:rPr>
            <w:rFonts w:ascii="Times New Roman" w:eastAsia="Times New Roman" w:hAnsi="Times New Roman" w:cs="Times New Roman"/>
            <w:color w:val="0000FF"/>
            <w:sz w:val="20"/>
            <w:szCs w:val="20"/>
            <w:u w:val="single"/>
            <w:lang w:eastAsia="de-DE"/>
          </w:rPr>
          <w:t>Homepage</w:t>
        </w:r>
      </w:hyperlink>
      <w:r w:rsidRPr="00CF0287">
        <w:rPr>
          <w:rFonts w:ascii="Times New Roman" w:eastAsia="Times New Roman" w:hAnsi="Times New Roman" w:cs="Times New Roman"/>
          <w:sz w:val="24"/>
          <w:szCs w:val="24"/>
          <w:lang w:eastAsia="de-DE"/>
        </w:rPr>
        <w:t>] [</w:t>
      </w:r>
      <w:hyperlink r:id="rId15" w:history="1">
        <w:r w:rsidRPr="00CF0287">
          <w:rPr>
            <w:rFonts w:ascii="Times New Roman" w:eastAsia="Times New Roman" w:hAnsi="Times New Roman" w:cs="Times New Roman"/>
            <w:color w:val="0000FF"/>
            <w:sz w:val="20"/>
            <w:szCs w:val="20"/>
            <w:u w:val="single"/>
            <w:lang w:eastAsia="de-DE"/>
          </w:rPr>
          <w:t>Gliederung</w:t>
        </w:r>
      </w:hyperlink>
      <w:r w:rsidRPr="00CF0287">
        <w:rPr>
          <w:rFonts w:ascii="Times New Roman" w:eastAsia="Times New Roman" w:hAnsi="Times New Roman" w:cs="Times New Roman"/>
          <w:sz w:val="24"/>
          <w:szCs w:val="24"/>
          <w:lang w:eastAsia="de-DE"/>
        </w:rPr>
        <w:t>]</w:t>
      </w:r>
    </w:p>
    <w:p w:rsidR="00CF0287" w:rsidRPr="00CF0287" w:rsidRDefault="00CF0287" w:rsidP="00CF0287">
      <w:pPr>
        <w:spacing w:after="240" w:line="240" w:lineRule="auto"/>
        <w:jc w:val="center"/>
        <w:rPr>
          <w:rFonts w:ascii="Times New Roman" w:eastAsia="Times New Roman" w:hAnsi="Times New Roman" w:cs="Times New Roman"/>
          <w:sz w:val="24"/>
          <w:szCs w:val="24"/>
          <w:lang w:eastAsia="de-DE"/>
        </w:rPr>
      </w:pPr>
      <w:r w:rsidRPr="00CF0287">
        <w:rPr>
          <w:rFonts w:ascii="Times New Roman" w:eastAsia="Times New Roman" w:hAnsi="Times New Roman" w:cs="Times New Roman"/>
          <w:noProof/>
          <w:color w:val="0000FF"/>
          <w:sz w:val="24"/>
          <w:szCs w:val="24"/>
          <w:lang w:eastAsia="de-DE"/>
        </w:rPr>
        <w:drawing>
          <wp:inline distT="0" distB="0" distL="0" distR="0" wp14:anchorId="796C4EAC" wp14:editId="2A00D618">
            <wp:extent cx="342900" cy="342900"/>
            <wp:effectExtent l="0" t="0" r="0" b="0"/>
            <wp:docPr id="7" name="Bild 22" descr="mhtml:file://C:\Users\Jürgen\Documents\Fortbildungen%202014\Fortbildungen\Kommunikationsseminar-RLFB\Das%20Werte-%20und%20Entwicklungsquadrat.mht!http://www.thur.de/home/annette/bilder/ashom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tml:file://C:\Users\Jürgen\Documents\Fortbildungen%202014\Fortbildungen\Kommunikationsseminar-RLFB\Das%20Werte-%20und%20Entwicklungsquadrat.mht!http://www.thur.de/home/annette/bilder/ashome.gif">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CF0287">
        <w:rPr>
          <w:rFonts w:ascii="Times New Roman" w:eastAsia="Times New Roman" w:hAnsi="Times New Roman" w:cs="Times New Roman"/>
          <w:noProof/>
          <w:color w:val="0000FF"/>
          <w:sz w:val="24"/>
          <w:szCs w:val="24"/>
          <w:lang w:eastAsia="de-DE"/>
        </w:rPr>
        <w:drawing>
          <wp:inline distT="0" distB="0" distL="0" distR="0" wp14:anchorId="4B130888" wp14:editId="1A3B37C6">
            <wp:extent cx="342900" cy="342900"/>
            <wp:effectExtent l="0" t="0" r="0" b="0"/>
            <wp:docPr id="8" name="Bild 23" descr="mhtml:file://C:\Users\Jürgen\Documents\Fortbildungen%202014\Fortbildungen\Kommunikationsseminar-RLFB\Das%20Werte-%20und%20Entwicklungsquadrat.mht!http://www.thur.de/home/annette/bilder/spider3.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C:\Users\Jürgen\Documents\Fortbildungen%202014\Fortbildungen\Kommunikationsseminar-RLFB\Das%20Werte-%20und%20Entwicklungsquadrat.mht!http://www.thur.de/home/annette/bilder/spider3.gif">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CF0287">
        <w:rPr>
          <w:rFonts w:ascii="Times New Roman" w:eastAsia="Times New Roman" w:hAnsi="Times New Roman" w:cs="Times New Roman"/>
          <w:sz w:val="24"/>
          <w:szCs w:val="24"/>
          <w:lang w:eastAsia="de-DE"/>
        </w:rPr>
        <w:br/>
      </w:r>
      <w:r w:rsidRPr="00CF0287">
        <w:rPr>
          <w:rFonts w:ascii="Times New Roman" w:eastAsia="Times New Roman" w:hAnsi="Times New Roman" w:cs="Times New Roman"/>
          <w:sz w:val="24"/>
          <w:szCs w:val="24"/>
          <w:lang w:eastAsia="de-DE"/>
        </w:rPr>
        <w:br/>
      </w:r>
      <w:r w:rsidRPr="00CF0287">
        <w:rPr>
          <w:rFonts w:ascii="Times New Roman" w:eastAsia="Times New Roman" w:hAnsi="Times New Roman" w:cs="Times New Roman"/>
          <w:sz w:val="24"/>
          <w:szCs w:val="24"/>
          <w:lang w:eastAsia="de-DE"/>
        </w:rPr>
        <w:br/>
      </w:r>
    </w:p>
    <w:p w:rsidR="00CF0287" w:rsidRPr="00CF0287" w:rsidRDefault="00CF0287" w:rsidP="00CF0287">
      <w:pPr>
        <w:spacing w:after="0" w:line="240" w:lineRule="auto"/>
        <w:jc w:val="center"/>
        <w:rPr>
          <w:rFonts w:ascii="Times New Roman" w:eastAsia="Times New Roman" w:hAnsi="Times New Roman" w:cs="Times New Roman"/>
          <w:sz w:val="24"/>
          <w:szCs w:val="24"/>
          <w:lang w:eastAsia="de-DE"/>
        </w:rPr>
      </w:pPr>
      <w:r w:rsidRPr="00CF0287">
        <w:rPr>
          <w:rFonts w:ascii="Times New Roman" w:eastAsia="Times New Roman" w:hAnsi="Times New Roman" w:cs="Times New Roman"/>
          <w:sz w:val="15"/>
          <w:szCs w:val="15"/>
          <w:lang w:eastAsia="de-DE"/>
        </w:rPr>
        <w:t xml:space="preserve">- Diese Seite ist Bestandteil von "Annettes Philosophenstübchen" </w:t>
      </w:r>
      <w:r w:rsidRPr="00CF0287">
        <w:rPr>
          <w:rFonts w:ascii="Times New Roman" w:eastAsia="Times New Roman" w:hAnsi="Times New Roman" w:cs="Times New Roman"/>
          <w:noProof/>
          <w:color w:val="0000FF"/>
          <w:sz w:val="15"/>
          <w:szCs w:val="15"/>
          <w:lang w:eastAsia="de-DE"/>
        </w:rPr>
        <w:drawing>
          <wp:inline distT="0" distB="0" distL="0" distR="0" wp14:anchorId="343B208D" wp14:editId="70231775">
            <wp:extent cx="123825" cy="104775"/>
            <wp:effectExtent l="0" t="0" r="9525" b="9525"/>
            <wp:docPr id="9" name="Bild 24" descr="mhtml:file://C:\Users\Jürgen\Documents\Fortbildungen%202014\Fortbildungen\Kommunikationsseminar-RLFB\Das%20Werte-%20und%20Entwicklungsquadrat.mht!http://www.thur.de/home/annette/bilder/copylef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C:\Users\Jürgen\Documents\Fortbildungen%202014\Fortbildungen\Kommunikationsseminar-RLFB\Das%20Werte-%20und%20Entwicklungsquadrat.mht!http://www.thur.de/home/annette/bilder/copyleft.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F0287">
        <w:rPr>
          <w:rFonts w:ascii="Times New Roman" w:eastAsia="Times New Roman" w:hAnsi="Times New Roman" w:cs="Times New Roman"/>
          <w:sz w:val="15"/>
          <w:szCs w:val="15"/>
          <w:lang w:eastAsia="de-DE"/>
        </w:rPr>
        <w:t xml:space="preserve">2007 - http://www.thur.de/philo/lh/komm2.htm - </w:t>
      </w:r>
    </w:p>
    <w:p w:rsidR="00413081" w:rsidRDefault="00413081">
      <w:bookmarkStart w:id="1" w:name="_GoBack"/>
      <w:bookmarkEnd w:id="1"/>
    </w:p>
    <w:sectPr w:rsidR="004130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87"/>
    <w:rsid w:val="00413081"/>
    <w:rsid w:val="00CF0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96251-7B97-46E7-91CA-0B63B351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de/home/annette/lh/komm7.htm" TargetMode="External"/><Relationship Id="rId13" Type="http://schemas.openxmlformats.org/officeDocument/2006/relationships/hyperlink" Target="http://www.thur.de/home/annette/lh/kommunikation.htm" TargetMode="External"/><Relationship Id="rId18" Type="http://schemas.openxmlformats.org/officeDocument/2006/relationships/hyperlink" Target="http://www.thur.de/home/annette/copyleft.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hyperlink" Target="http://www.thur.de/home/annette/lh/komm7.htm" TargetMode="External"/><Relationship Id="rId17"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image" Target="media/image2.gif"/><Relationship Id="rId15" Type="http://schemas.openxmlformats.org/officeDocument/2006/relationships/hyperlink" Target="http://www.thur.de/home/annette/asglied.htm" TargetMode="External"/><Relationship Id="rId10" Type="http://schemas.openxmlformats.org/officeDocument/2006/relationships/image" Target="media/image5.gif"/><Relationship Id="rId19" Type="http://schemas.openxmlformats.org/officeDocument/2006/relationships/image" Target="media/image9.gif"/><Relationship Id="rId4" Type="http://schemas.openxmlformats.org/officeDocument/2006/relationships/image" Target="media/image1.gif"/><Relationship Id="rId9" Type="http://schemas.openxmlformats.org/officeDocument/2006/relationships/hyperlink" Target="http://www.thur.de/home/annette/lh/komm1.htm" TargetMode="External"/><Relationship Id="rId14" Type="http://schemas.openxmlformats.org/officeDocument/2006/relationships/hyperlink" Target="http://www.thur.de/home/annette/mai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1</cp:revision>
  <dcterms:created xsi:type="dcterms:W3CDTF">2015-01-03T08:56:00Z</dcterms:created>
  <dcterms:modified xsi:type="dcterms:W3CDTF">2015-01-03T08:57:00Z</dcterms:modified>
</cp:coreProperties>
</file>